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ADC" w:rsidRPr="00B62185" w:rsidRDefault="007F179F" w:rsidP="000D7C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32"/>
          <w:szCs w:val="32"/>
        </w:rPr>
        <w:t>Species Name</w:t>
      </w:r>
      <w:r w:rsidR="00A56ADC" w:rsidRPr="00B621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="00C753A6" w:rsidRPr="00B62185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(</w:t>
      </w:r>
      <w:r w:rsidR="00A56ADC" w:rsidRPr="00B62185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>1</w:t>
      </w:r>
      <w:r w:rsidR="00A56ADC" w:rsidRPr="00B62185">
        <w:rPr>
          <w:rFonts w:ascii="Times New Roman" w:hAnsi="Times New Roman" w:cs="Times New Roman"/>
          <w:b/>
          <w:sz w:val="24"/>
          <w:szCs w:val="24"/>
          <w:highlight w:val="yellow"/>
        </w:rPr>
        <w:t>6pt, Bold)</w:t>
      </w:r>
    </w:p>
    <w:p w:rsidR="00EA22EB" w:rsidRPr="00B62185" w:rsidRDefault="00EA22EB" w:rsidP="000D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B62185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Facesoffungi Number: </w:t>
      </w:r>
      <w:r w:rsidRPr="00B62185">
        <w:rPr>
          <w:rFonts w:ascii="Times New Roman" w:hAnsi="Times New Roman" w:cs="Times New Roman"/>
          <w:b/>
          <w:iCs/>
          <w:sz w:val="24"/>
          <w:szCs w:val="24"/>
        </w:rPr>
        <w:t xml:space="preserve">FoF 00010 </w:t>
      </w:r>
      <w:r w:rsidRPr="00B62185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(</w:t>
      </w:r>
      <w:r w:rsidR="000D7C6D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 xml:space="preserve">** point: get number from </w:t>
      </w:r>
      <w:r w:rsidR="003B1829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Administrator</w:t>
      </w:r>
      <w:r w:rsidRPr="00B62185">
        <w:rPr>
          <w:rFonts w:ascii="Times New Roman" w:hAnsi="Times New Roman" w:cs="Times New Roman"/>
          <w:b/>
          <w:iCs/>
          <w:sz w:val="24"/>
          <w:szCs w:val="24"/>
          <w:highlight w:val="yellow"/>
        </w:rPr>
        <w:t>)</w:t>
      </w:r>
    </w:p>
    <w:p w:rsidR="00EA22EB" w:rsidRPr="00B62185" w:rsidRDefault="00EA22EB" w:rsidP="000D7C6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6ADC" w:rsidRPr="00B62185" w:rsidRDefault="007F179F" w:rsidP="000D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iCs/>
          <w:sz w:val="24"/>
          <w:szCs w:val="24"/>
        </w:rPr>
        <w:t>Species Name</w:t>
      </w:r>
      <w:r w:rsidR="00A56ADC" w:rsidRPr="00B62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Authority,</w:t>
      </w:r>
      <w:r w:rsidR="00A56ADC" w:rsidRPr="00B6218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Index Fungorum Number</w:t>
      </w:r>
      <w:r w:rsidR="00A56ADC" w:rsidRPr="00B6218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IF</w:t>
      </w:r>
      <w:r w:rsidR="00A56ADC" w:rsidRPr="00B6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XXXXX</w:t>
      </w:r>
      <w:r w:rsidR="00A56ADC" w:rsidRPr="00B62185">
        <w:rPr>
          <w:rFonts w:ascii="Times New Roman" w:hAnsi="Times New Roman" w:cs="Times New Roman"/>
          <w:sz w:val="24"/>
          <w:szCs w:val="24"/>
        </w:rPr>
        <w:t xml:space="preserve"> </w:t>
      </w:r>
      <w:r w:rsidR="00A56ADC" w:rsidRPr="00B62185">
        <w:rPr>
          <w:rFonts w:ascii="Times New Roman" w:hAnsi="Times New Roman" w:cs="Times New Roman"/>
          <w:sz w:val="24"/>
          <w:szCs w:val="24"/>
          <w:highlight w:val="yellow"/>
        </w:rPr>
        <w:t xml:space="preserve">(Publication details of the species with </w:t>
      </w:r>
      <w:r w:rsidR="001D07F6">
        <w:rPr>
          <w:rFonts w:ascii="Times New Roman" w:hAnsi="Times New Roman" w:cs="Times New Roman"/>
          <w:sz w:val="24"/>
          <w:szCs w:val="24"/>
          <w:highlight w:val="yellow"/>
        </w:rPr>
        <w:t>Index Fungorum</w:t>
      </w:r>
      <w:r w:rsidR="00A56ADC" w:rsidRPr="00B62185">
        <w:rPr>
          <w:rFonts w:ascii="Times New Roman" w:hAnsi="Times New Roman" w:cs="Times New Roman"/>
          <w:sz w:val="24"/>
          <w:szCs w:val="24"/>
          <w:highlight w:val="yellow"/>
        </w:rPr>
        <w:t xml:space="preserve"> number</w:t>
      </w:r>
      <w:r w:rsidR="00A56ADC" w:rsidRPr="00B62185"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  <w:t xml:space="preserve">, </w:t>
      </w:r>
      <w:r w:rsidR="00A56ADC" w:rsidRPr="00B6218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12</w:t>
      </w:r>
      <w:r w:rsidR="00A56ADC" w:rsidRPr="00B62185">
        <w:rPr>
          <w:rFonts w:ascii="Times New Roman" w:hAnsi="Times New Roman" w:cs="Times New Roman"/>
          <w:sz w:val="24"/>
          <w:szCs w:val="24"/>
          <w:highlight w:val="yellow"/>
        </w:rPr>
        <w:t>pt bold species name)</w:t>
      </w:r>
      <w:r w:rsidR="00A56ADC" w:rsidRPr="00B62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1F10" w:rsidRPr="00B62185" w:rsidRDefault="001E1F10" w:rsidP="000D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1F10" w:rsidRDefault="001E1F10" w:rsidP="000D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85">
        <w:rPr>
          <w:rFonts w:ascii="Times New Roman" w:hAnsi="Times New Roman" w:cs="Times New Roman"/>
          <w:sz w:val="24"/>
          <w:szCs w:val="24"/>
          <w:highlight w:val="yellow"/>
        </w:rPr>
        <w:t>(Possible synonyms</w:t>
      </w:r>
      <w:r w:rsidR="000D7C6D">
        <w:rPr>
          <w:rFonts w:ascii="Times New Roman" w:hAnsi="Times New Roman" w:cs="Times New Roman"/>
          <w:sz w:val="24"/>
          <w:szCs w:val="24"/>
          <w:highlight w:val="yellow"/>
        </w:rPr>
        <w:t>, 10pt – use Index Fungorum format</w:t>
      </w:r>
      <w:r w:rsidRPr="00B62185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1D07F6" w:rsidRDefault="001D07F6" w:rsidP="000D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F6" w:rsidRPr="00B62185" w:rsidRDefault="001D07F6" w:rsidP="001D07F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62185">
        <w:rPr>
          <w:rFonts w:ascii="Times New Roman" w:hAnsi="Times New Roman" w:cs="Times New Roman"/>
          <w:b/>
          <w:bCs/>
          <w:sz w:val="24"/>
          <w:szCs w:val="24"/>
        </w:rPr>
        <w:t>Description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D07F6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D07F6">
        <w:rPr>
          <w:rFonts w:ascii="Times New Roman" w:hAnsi="Times New Roman" w:cs="Times New Roman"/>
          <w:sz w:val="24"/>
          <w:szCs w:val="24"/>
          <w:highlight w:val="yellow"/>
        </w:rPr>
        <w:t>Description with measurements of sexual and asexual state of species</w:t>
      </w:r>
      <w:r w:rsidRPr="001D07F6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1D07F6" w:rsidRDefault="005F38B7" w:rsidP="005F38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38B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Saprobic</w:t>
      </w:r>
      <w:r w:rsidRPr="005F38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on the surface of dried twigs, less common on leaves.</w:t>
      </w:r>
      <w:r w:rsidRPr="0010487F">
        <w:rPr>
          <w:color w:val="000000" w:themeColor="text1"/>
        </w:rPr>
        <w:t xml:space="preserve"> </w:t>
      </w:r>
      <w:r w:rsidR="001D07F6" w:rsidRPr="00B62185">
        <w:rPr>
          <w:rFonts w:ascii="Times New Roman" w:hAnsi="Times New Roman" w:cs="Times New Roman"/>
          <w:b/>
          <w:iCs/>
          <w:sz w:val="24"/>
          <w:szCs w:val="24"/>
        </w:rPr>
        <w:t>Sexual state: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</w:t>
      </w:r>
      <w:r w:rsidR="001D07F6" w:rsidRPr="00B62185">
        <w:rPr>
          <w:rFonts w:ascii="Times New Roman" w:hAnsi="Times New Roman" w:cs="Times New Roman"/>
          <w:i/>
          <w:sz w:val="24"/>
          <w:szCs w:val="24"/>
        </w:rPr>
        <w:t>Ascomata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380–450 × 370–430 μm (</w:t>
      </w:r>
      <w:r w:rsidR="001D07F6" w:rsidRPr="00B621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04C9A3" wp14:editId="35B84490">
            <wp:extent cx="114300" cy="123825"/>
            <wp:effectExtent l="19050" t="0" r="0" b="0"/>
            <wp:docPr id="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= 395 × 380 µm, n = 10), solitary or scattered, initially immersed, becoming erumpent to near superficial, globose to subglobose, broadly or narrowly conical, coriaceous, smooth-walled, ostiolate. </w:t>
      </w:r>
      <w:r w:rsidR="001D07F6" w:rsidRPr="00B62185">
        <w:rPr>
          <w:rFonts w:ascii="Times New Roman" w:hAnsi="Times New Roman" w:cs="Times New Roman"/>
          <w:i/>
          <w:sz w:val="24"/>
          <w:szCs w:val="24"/>
        </w:rPr>
        <w:t>Ostiole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usually broadly papillate, central ostiolar canal filled with periphyses and covered with setae. </w:t>
      </w:r>
      <w:r w:rsidR="001D07F6" w:rsidRPr="00B62185">
        <w:rPr>
          <w:rFonts w:ascii="Times New Roman" w:hAnsi="Times New Roman" w:cs="Times New Roman"/>
          <w:i/>
          <w:sz w:val="24"/>
          <w:szCs w:val="24"/>
        </w:rPr>
        <w:t>Setae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brown to reddish-brown, darkened at the base, septate and tapered towards the apex. </w:t>
      </w:r>
      <w:r w:rsidR="001D07F6" w:rsidRPr="00B62185">
        <w:rPr>
          <w:rFonts w:ascii="Times New Roman" w:hAnsi="Times New Roman" w:cs="Times New Roman"/>
          <w:i/>
          <w:sz w:val="24"/>
          <w:szCs w:val="24"/>
        </w:rPr>
        <w:t>Peridium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40–70 μm (</w:t>
      </w:r>
      <w:r w:rsidR="001D07F6" w:rsidRPr="00B621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92B13B0" wp14:editId="049F3CCE">
            <wp:extent cx="114300" cy="12382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= 45 µm, n = 20) wide, comprising two types of cells, outer cells of 1–2 layers of heavily pigmented cells of</w:t>
      </w:r>
      <w:r w:rsidR="001D07F6" w:rsidRPr="00B62185">
        <w:rPr>
          <w:rFonts w:ascii="Times New Roman" w:hAnsi="Times New Roman" w:cs="Times New Roman"/>
          <w:i/>
          <w:sz w:val="24"/>
          <w:szCs w:val="24"/>
        </w:rPr>
        <w:t xml:space="preserve"> textura angularis</w:t>
      </w:r>
      <w:r w:rsidR="001D07F6" w:rsidRPr="00B62185">
        <w:rPr>
          <w:rFonts w:ascii="Times New Roman" w:hAnsi="Times New Roman" w:cs="Times New Roman"/>
          <w:sz w:val="24"/>
          <w:szCs w:val="24"/>
        </w:rPr>
        <w:t>, inner layer composed of small, light brown to hyaline cells of</w:t>
      </w:r>
      <w:r w:rsidR="001D07F6" w:rsidRPr="00B62185">
        <w:rPr>
          <w:rFonts w:ascii="Times New Roman" w:hAnsi="Times New Roman" w:cs="Times New Roman"/>
          <w:i/>
          <w:sz w:val="24"/>
          <w:szCs w:val="24"/>
        </w:rPr>
        <w:t xml:space="preserve"> textura angularis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. </w:t>
      </w:r>
      <w:r w:rsidR="001D07F6" w:rsidRPr="00B62185">
        <w:rPr>
          <w:rFonts w:ascii="Times New Roman" w:hAnsi="Times New Roman" w:cs="Times New Roman"/>
          <w:i/>
          <w:sz w:val="24"/>
          <w:szCs w:val="24"/>
        </w:rPr>
        <w:t>Pseudoparaphyses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not observed.</w:t>
      </w:r>
      <w:r w:rsidR="001D07F6" w:rsidRPr="00B62185">
        <w:rPr>
          <w:rFonts w:ascii="Times New Roman" w:hAnsi="Times New Roman" w:cs="Times New Roman"/>
          <w:i/>
          <w:sz w:val="24"/>
          <w:szCs w:val="24"/>
        </w:rPr>
        <w:t xml:space="preserve"> Asci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300–400 × 130–160 μm (</w:t>
      </w:r>
      <w:r w:rsidR="001D07F6" w:rsidRPr="00B621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EC53AB" wp14:editId="6452C719">
            <wp:extent cx="114300" cy="123825"/>
            <wp:effectExtent l="19050" t="0" r="0" b="0"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= 345 × 140 µm, n = 20), 8-spored, bitunicate, fissitunicate, clavate to sub-cylindrical, with a short, broad pedicel, thickened and rounded at apex with a </w:t>
      </w:r>
      <w:r w:rsidR="001D07F6" w:rsidRPr="00B62185">
        <w:rPr>
          <w:rFonts w:ascii="Times New Roman" w:hAnsi="Times New Roman" w:cs="Times New Roman"/>
          <w:bCs/>
          <w:sz w:val="24"/>
          <w:szCs w:val="24"/>
        </w:rPr>
        <w:t>distinct ocular chamber surrounded by a large, distinct, apical ring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. </w:t>
      </w:r>
      <w:r w:rsidR="001D07F6" w:rsidRPr="00B62185">
        <w:rPr>
          <w:rFonts w:ascii="Times New Roman" w:hAnsi="Times New Roman" w:cs="Times New Roman"/>
          <w:i/>
          <w:sz w:val="24"/>
          <w:szCs w:val="24"/>
        </w:rPr>
        <w:t>Ascospores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78–96 × 27–34 μm (</w:t>
      </w:r>
      <w:r w:rsidR="001D07F6" w:rsidRPr="00B6218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ACED36" wp14:editId="4315165F">
            <wp:extent cx="114300" cy="123825"/>
            <wp:effectExtent l="19050" t="0" r="0" b="0"/>
            <wp:docPr id="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= 88 × 30 µm, n = 40), biseriate to overlapping triseriate, ellipsoidal with broadly rounded ends, hyaline to light brown when immature, becoming brown to chestnut brown when mature,</w:t>
      </w:r>
      <w:r w:rsidR="001D07F6" w:rsidRPr="00B62185" w:rsidDel="00C21C9F">
        <w:rPr>
          <w:rFonts w:ascii="Times New Roman" w:hAnsi="Times New Roman" w:cs="Times New Roman"/>
          <w:sz w:val="24"/>
          <w:szCs w:val="24"/>
        </w:rPr>
        <w:t xml:space="preserve"> </w:t>
      </w:r>
      <w:r w:rsidR="001D07F6" w:rsidRPr="00B62185">
        <w:rPr>
          <w:rFonts w:ascii="Times New Roman" w:hAnsi="Times New Roman" w:cs="Times New Roman"/>
          <w:sz w:val="24"/>
          <w:szCs w:val="24"/>
        </w:rPr>
        <w:t>muriform with 5–6 transverse septa and single longitudinal septa in one or all cells, constricted at the septa, smooth-walled, relatively thick-walled, with a 5–9 μm thick mucilaginous sheath.</w:t>
      </w:r>
      <w:r w:rsidR="001D07F6" w:rsidRPr="00B6218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1D07F6" w:rsidRPr="00B62185">
        <w:rPr>
          <w:rFonts w:ascii="Times New Roman" w:hAnsi="Times New Roman" w:cs="Times New Roman"/>
          <w:b/>
          <w:iCs/>
          <w:sz w:val="24"/>
          <w:szCs w:val="24"/>
        </w:rPr>
        <w:t>Asexual state</w:t>
      </w:r>
      <w:r w:rsidR="001D07F6" w:rsidRPr="00B62185">
        <w:rPr>
          <w:rFonts w:ascii="Times New Roman" w:hAnsi="Times New Roman" w:cs="Times New Roman"/>
          <w:b/>
          <w:sz w:val="24"/>
          <w:szCs w:val="24"/>
        </w:rPr>
        <w:t>:</w:t>
      </w:r>
      <w:r w:rsidR="001D07F6" w:rsidRPr="00B62185">
        <w:rPr>
          <w:rFonts w:ascii="Times New Roman" w:hAnsi="Times New Roman" w:cs="Times New Roman"/>
          <w:sz w:val="24"/>
          <w:szCs w:val="24"/>
        </w:rPr>
        <w:t xml:space="preserve"> not observed, but see notes.</w:t>
      </w:r>
    </w:p>
    <w:p w:rsidR="001D07F6" w:rsidRDefault="001D07F6" w:rsidP="001D07F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D07F6" w:rsidRDefault="001D07F6" w:rsidP="001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C6D">
        <w:rPr>
          <w:rFonts w:ascii="Times New Roman" w:hAnsi="Times New Roman" w:cs="Times New Roman"/>
          <w:b/>
          <w:sz w:val="24"/>
          <w:szCs w:val="24"/>
        </w:rPr>
        <w:t>Material examined:</w:t>
      </w:r>
      <w:r w:rsidRPr="00B62185">
        <w:rPr>
          <w:rFonts w:ascii="Times New Roman" w:hAnsi="Times New Roman" w:cs="Times New Roman"/>
          <w:sz w:val="24"/>
          <w:szCs w:val="24"/>
        </w:rPr>
        <w:t xml:space="preserve"> SWEDEN, on leaves of </w:t>
      </w:r>
      <w:r w:rsidRPr="000D7C6D">
        <w:rPr>
          <w:rFonts w:ascii="Times New Roman" w:hAnsi="Times New Roman" w:cs="Times New Roman"/>
          <w:i/>
          <w:sz w:val="24"/>
          <w:szCs w:val="24"/>
        </w:rPr>
        <w:t>Anthoxanthum</w:t>
      </w:r>
      <w:r w:rsidRPr="00B62185">
        <w:rPr>
          <w:rFonts w:ascii="Times New Roman" w:hAnsi="Times New Roman" w:cs="Times New Roman"/>
          <w:sz w:val="24"/>
          <w:szCs w:val="24"/>
        </w:rPr>
        <w:t xml:space="preserve"> </w:t>
      </w:r>
      <w:r w:rsidRPr="00B05268">
        <w:rPr>
          <w:rFonts w:ascii="Times New Roman" w:hAnsi="Times New Roman" w:cs="Times New Roman"/>
          <w:sz w:val="24"/>
          <w:szCs w:val="24"/>
        </w:rPr>
        <w:t>(Poaceae),</w:t>
      </w:r>
      <w:r w:rsidRPr="00B62185">
        <w:rPr>
          <w:rFonts w:ascii="Times New Roman" w:hAnsi="Times New Roman" w:cs="Times New Roman"/>
          <w:sz w:val="24"/>
          <w:szCs w:val="24"/>
        </w:rPr>
        <w:t xml:space="preserve"> 7 August 1951, J. Ax. Nannfeldt (UPS 170980, </w:t>
      </w:r>
      <w:r w:rsidRPr="000D7C6D">
        <w:rPr>
          <w:rFonts w:ascii="Times New Roman" w:hAnsi="Times New Roman" w:cs="Times New Roman"/>
          <w:b/>
          <w:sz w:val="24"/>
          <w:szCs w:val="24"/>
        </w:rPr>
        <w:t>neotype</w:t>
      </w:r>
      <w:r w:rsidRPr="00B62185">
        <w:rPr>
          <w:rFonts w:ascii="Times New Roman" w:hAnsi="Times New Roman" w:cs="Times New Roman"/>
          <w:sz w:val="24"/>
          <w:szCs w:val="24"/>
        </w:rPr>
        <w:t xml:space="preserve">). </w:t>
      </w:r>
      <w:r w:rsidRPr="00B62185">
        <w:rPr>
          <w:rFonts w:ascii="Times New Roman" w:hAnsi="Times New Roman" w:cs="Times New Roman"/>
          <w:sz w:val="24"/>
          <w:szCs w:val="24"/>
          <w:highlight w:val="yellow"/>
        </w:rPr>
        <w:t>(Details of the material examined</w:t>
      </w:r>
      <w:r>
        <w:rPr>
          <w:rFonts w:ascii="Times New Roman" w:hAnsi="Times New Roman" w:cs="Times New Roman"/>
          <w:sz w:val="24"/>
          <w:szCs w:val="24"/>
          <w:highlight w:val="yellow"/>
        </w:rPr>
        <w:t>, what is the family of host plant</w:t>
      </w:r>
      <w:r w:rsidRPr="00B62185">
        <w:rPr>
          <w:rFonts w:ascii="Times New Roman" w:hAnsi="Times New Roman" w:cs="Times New Roman"/>
          <w:sz w:val="24"/>
          <w:szCs w:val="24"/>
          <w:highlight w:val="yellow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7F6" w:rsidRDefault="001D07F6" w:rsidP="001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F6" w:rsidRDefault="001D07F6" w:rsidP="001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85">
        <w:rPr>
          <w:rFonts w:ascii="Times New Roman" w:hAnsi="Times New Roman" w:cs="Times New Roman"/>
          <w:b/>
          <w:sz w:val="24"/>
          <w:szCs w:val="24"/>
        </w:rPr>
        <w:t>Distribution</w:t>
      </w:r>
      <w:r w:rsidRPr="00B62185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B62185">
        <w:rPr>
          <w:rFonts w:ascii="Times New Roman" w:hAnsi="Times New Roman" w:cs="Times New Roman"/>
          <w:sz w:val="24"/>
          <w:szCs w:val="24"/>
        </w:rPr>
        <w:t xml:space="preserve"> (</w:t>
      </w:r>
      <w:r w:rsidRPr="007F179F">
        <w:rPr>
          <w:rFonts w:ascii="Times New Roman" w:hAnsi="Times New Roman" w:cs="Times New Roman"/>
          <w:sz w:val="24"/>
          <w:szCs w:val="24"/>
          <w:highlight w:val="yellow"/>
        </w:rPr>
        <w:t>Write description about the places of species distribution</w:t>
      </w:r>
      <w:r w:rsidRPr="00B62185">
        <w:rPr>
          <w:rFonts w:ascii="Times New Roman" w:hAnsi="Times New Roman" w:cs="Times New Roman"/>
          <w:sz w:val="24"/>
          <w:szCs w:val="24"/>
        </w:rPr>
        <w:t>)</w:t>
      </w:r>
    </w:p>
    <w:p w:rsidR="001D07F6" w:rsidRDefault="001D07F6" w:rsidP="001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07F6" w:rsidRPr="00B62185" w:rsidRDefault="001D07F6" w:rsidP="001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185">
        <w:rPr>
          <w:rFonts w:ascii="Times New Roman" w:hAnsi="Times New Roman" w:cs="Times New Roman"/>
          <w:b/>
          <w:sz w:val="24"/>
          <w:szCs w:val="24"/>
        </w:rPr>
        <w:t>Sequence data:</w:t>
      </w:r>
      <w:r w:rsidRPr="00B62185">
        <w:rPr>
          <w:rFonts w:ascii="Times New Roman" w:hAnsi="Times New Roman" w:cs="Times New Roman"/>
          <w:sz w:val="24"/>
          <w:szCs w:val="24"/>
        </w:rPr>
        <w:t xml:space="preserve"> </w:t>
      </w:r>
      <w:r w:rsidRPr="00B62185">
        <w:rPr>
          <w:rFonts w:ascii="Times New Roman" w:hAnsi="Times New Roman" w:cs="Times New Roman"/>
          <w:bCs/>
          <w:sz w:val="24"/>
          <w:szCs w:val="24"/>
          <w:highlight w:val="yellow"/>
        </w:rPr>
        <w:t>(</w:t>
      </w:r>
      <w:r w:rsidRPr="00B6218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Sequence data from type or extype or study this collection came from</w:t>
      </w:r>
      <w:r w:rsidRPr="00B62185">
        <w:rPr>
          <w:rFonts w:ascii="Times New Roman" w:hAnsi="Times New Roman" w:cs="Times New Roman"/>
          <w:bCs/>
          <w:sz w:val="24"/>
          <w:szCs w:val="24"/>
          <w:highlight w:val="yellow"/>
        </w:rPr>
        <w:t>)</w:t>
      </w:r>
    </w:p>
    <w:p w:rsidR="001D07F6" w:rsidRDefault="001D07F6" w:rsidP="001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2185">
        <w:rPr>
          <w:rFonts w:ascii="Times New Roman" w:hAnsi="Times New Roman" w:cs="Times New Roman"/>
          <w:b/>
          <w:bCs/>
          <w:sz w:val="24"/>
          <w:szCs w:val="24"/>
        </w:rPr>
        <w:t>ITS:</w:t>
      </w:r>
      <w:r w:rsidRPr="00B62185">
        <w:rPr>
          <w:rFonts w:ascii="Times New Roman" w:hAnsi="Times New Roman" w:cs="Times New Roman"/>
          <w:bCs/>
          <w:sz w:val="24"/>
          <w:szCs w:val="24"/>
        </w:rPr>
        <w:t xml:space="preserve"> JN943649.1 (ITS1/ITS4); </w:t>
      </w:r>
      <w:r w:rsidRPr="00B62185">
        <w:rPr>
          <w:rFonts w:ascii="Times New Roman" w:hAnsi="Times New Roman" w:cs="Times New Roman"/>
          <w:b/>
          <w:bCs/>
          <w:sz w:val="24"/>
          <w:szCs w:val="24"/>
        </w:rPr>
        <w:t>LSU:</w:t>
      </w:r>
      <w:r w:rsidRPr="00B62185">
        <w:rPr>
          <w:rFonts w:ascii="Times New Roman" w:hAnsi="Times New Roman" w:cs="Times New Roman"/>
          <w:bCs/>
          <w:sz w:val="24"/>
          <w:szCs w:val="24"/>
        </w:rPr>
        <w:t xml:space="preserve"> JN940093.1 (LROR/LR5); </w:t>
      </w:r>
      <w:r w:rsidRPr="00B62185">
        <w:rPr>
          <w:rFonts w:ascii="Times New Roman" w:hAnsi="Times New Roman" w:cs="Times New Roman"/>
          <w:b/>
          <w:bCs/>
          <w:sz w:val="24"/>
          <w:szCs w:val="24"/>
        </w:rPr>
        <w:t>SSU:</w:t>
      </w:r>
      <w:r w:rsidRPr="00B62185">
        <w:rPr>
          <w:rFonts w:ascii="Times New Roman" w:hAnsi="Times New Roman" w:cs="Times New Roman"/>
          <w:bCs/>
          <w:sz w:val="24"/>
          <w:szCs w:val="24"/>
        </w:rPr>
        <w:t xml:space="preserve"> JN940960.1 (NS1/NS4); </w:t>
      </w:r>
      <w:r w:rsidRPr="00B62185">
        <w:rPr>
          <w:rFonts w:ascii="Times New Roman" w:hAnsi="Times New Roman" w:cs="Times New Roman"/>
          <w:b/>
          <w:bCs/>
          <w:sz w:val="24"/>
          <w:szCs w:val="24"/>
        </w:rPr>
        <w:t>EF1a:</w:t>
      </w:r>
      <w:r w:rsidRPr="00B62185">
        <w:rPr>
          <w:rFonts w:ascii="Times New Roman" w:hAnsi="Times New Roman" w:cs="Times New Roman"/>
          <w:bCs/>
          <w:sz w:val="24"/>
          <w:szCs w:val="24"/>
        </w:rPr>
        <w:t xml:space="preserve"> DQ497607.1 (983/2218R); </w:t>
      </w:r>
      <w:r w:rsidRPr="00B62185">
        <w:rPr>
          <w:rFonts w:ascii="Times New Roman" w:hAnsi="Times New Roman" w:cs="Times New Roman"/>
          <w:b/>
          <w:bCs/>
          <w:sz w:val="24"/>
          <w:szCs w:val="24"/>
        </w:rPr>
        <w:t>RPB2:</w:t>
      </w:r>
      <w:r w:rsidRPr="00B62185">
        <w:rPr>
          <w:rFonts w:ascii="Times New Roman" w:hAnsi="Times New Roman" w:cs="Times New Roman"/>
          <w:bCs/>
          <w:sz w:val="24"/>
          <w:szCs w:val="24"/>
        </w:rPr>
        <w:t xml:space="preserve"> DQ497614.1 (fRPB2-SF/fRPB2-7cR)</w:t>
      </w:r>
    </w:p>
    <w:p w:rsidR="001D07F6" w:rsidRDefault="001D07F6" w:rsidP="001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D07F6" w:rsidRPr="00B62185" w:rsidRDefault="001D07F6" w:rsidP="001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2185">
        <w:rPr>
          <w:rFonts w:ascii="Times New Roman" w:hAnsi="Times New Roman" w:cs="Times New Roman"/>
          <w:b/>
          <w:bCs/>
          <w:sz w:val="24"/>
          <w:szCs w:val="24"/>
        </w:rPr>
        <w:t>Notes:</w:t>
      </w:r>
      <w:r w:rsidRPr="00B6218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bookmarkStart w:id="0" w:name="_GoBack"/>
      <w:bookmarkEnd w:id="0"/>
      <w:r w:rsidRPr="00B6218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(</w:t>
      </w:r>
      <w:r w:rsidRPr="00B6218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Notes on species</w:t>
      </w:r>
      <w:r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, </w:t>
      </w:r>
      <w:r w:rsidRPr="00B62185">
        <w:rPr>
          <w:rFonts w:ascii="Times New Roman" w:hAnsi="Times New Roman" w:cs="Times New Roman"/>
          <w:bCs/>
          <w:sz w:val="24"/>
          <w:szCs w:val="24"/>
          <w:highlight w:val="yellow"/>
        </w:rPr>
        <w:t>Importance of species to human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>s</w:t>
      </w:r>
      <w:r w:rsidRPr="00B62185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or ecosystem</w:t>
      </w:r>
      <w:r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, </w:t>
      </w:r>
      <w:r w:rsidRPr="00B6218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Quarantine significance</w:t>
      </w:r>
      <w:r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 xml:space="preserve">, </w:t>
      </w:r>
      <w:r w:rsidRPr="00B62185">
        <w:rPr>
          <w:rFonts w:ascii="Times New Roman" w:hAnsi="Times New Roman" w:cs="Times New Roman"/>
          <w:sz w:val="24"/>
          <w:szCs w:val="24"/>
          <w:highlight w:val="yellow"/>
        </w:rPr>
        <w:t>Biochemical importance of species, chemical diversity or application</w:t>
      </w:r>
      <w:r w:rsidRPr="00B62185">
        <w:rPr>
          <w:rFonts w:ascii="Times New Roman" w:hAnsi="Times New Roman" w:cs="Times New Roman"/>
          <w:bCs/>
          <w:iCs/>
          <w:sz w:val="24"/>
          <w:szCs w:val="24"/>
          <w:highlight w:val="yellow"/>
        </w:rPr>
        <w:t>)</w:t>
      </w:r>
    </w:p>
    <w:p w:rsidR="001D07F6" w:rsidRPr="00B62185" w:rsidRDefault="001D07F6" w:rsidP="001D07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D5E42" w:rsidRPr="00B62185" w:rsidRDefault="00CD5E42" w:rsidP="000D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B62185">
        <w:rPr>
          <w:rFonts w:ascii="Times New Roman" w:hAnsi="Times New Roman" w:cs="Times New Roman"/>
          <w:b/>
          <w:iCs/>
          <w:sz w:val="24"/>
          <w:szCs w:val="24"/>
        </w:rPr>
        <w:t>Fig</w:t>
      </w:r>
      <w:r w:rsidR="001D07F6">
        <w:rPr>
          <w:rFonts w:ascii="Times New Roman" w:hAnsi="Times New Roman" w:cs="Times New Roman"/>
          <w:b/>
          <w:iCs/>
          <w:sz w:val="24"/>
          <w:szCs w:val="24"/>
        </w:rPr>
        <w:t xml:space="preserve">. x. </w:t>
      </w:r>
      <w:r w:rsidRPr="00B62185">
        <w:rPr>
          <w:rFonts w:ascii="Times New Roman" w:hAnsi="Times New Roman" w:cs="Times New Roman"/>
          <w:b/>
          <w:i/>
          <w:sz w:val="24"/>
          <w:szCs w:val="24"/>
        </w:rPr>
        <w:t>Pyrenophora phaeocomes</w:t>
      </w:r>
      <w:r w:rsidRPr="00B62185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B62185">
        <w:rPr>
          <w:rFonts w:ascii="Times New Roman" w:hAnsi="Times New Roman" w:cs="Times New Roman"/>
          <w:b/>
          <w:bCs/>
          <w:iCs/>
          <w:sz w:val="24"/>
          <w:szCs w:val="24"/>
        </w:rPr>
        <w:t>neotype</w:t>
      </w:r>
      <w:r w:rsidRPr="00B62185">
        <w:rPr>
          <w:rFonts w:ascii="Times New Roman" w:hAnsi="Times New Roman" w:cs="Times New Roman"/>
          <w:bCs/>
          <w:iCs/>
          <w:sz w:val="24"/>
          <w:szCs w:val="24"/>
        </w:rPr>
        <w:t xml:space="preserve">). </w:t>
      </w:r>
      <w:r w:rsidRPr="001D07F6">
        <w:rPr>
          <w:rFonts w:ascii="Times New Roman" w:hAnsi="Times New Roman" w:cs="Times New Roman"/>
          <w:bCs/>
          <w:iCs/>
          <w:sz w:val="24"/>
          <w:szCs w:val="24"/>
        </w:rPr>
        <w:t>A, B</w:t>
      </w:r>
      <w:r w:rsidR="001D07F6" w:rsidRPr="001D07F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D07F6">
        <w:rPr>
          <w:rFonts w:ascii="Times New Roman" w:hAnsi="Times New Roman" w:cs="Times New Roman"/>
          <w:bCs/>
          <w:iCs/>
          <w:sz w:val="24"/>
          <w:szCs w:val="24"/>
        </w:rPr>
        <w:t>Ascomata on host specimen. C Close up of ascoma. D Side view of ascoma with neck covered with setae. E, F Sections of ascomata. G Section of peridium. H Ostiole, with central periphyses. J Light brown seta. K-M Asci with 8 ascospores, distinct ocular chamber and apical ring. N-Q Mature and immature muriform ascospores. Scale bars: E-F=200 μm, G=30 μm, H=80 μm, J=50 μm, K-M=50 μm, N-Q=15 μm.</w:t>
      </w:r>
    </w:p>
    <w:p w:rsidR="00CD5E42" w:rsidRPr="00B62185" w:rsidRDefault="00CD5E42" w:rsidP="000D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85"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(</w:t>
      </w:r>
      <w:r w:rsidR="00EA22EB" w:rsidRPr="00B62185">
        <w:rPr>
          <w:rFonts w:ascii="Times New Roman" w:hAnsi="Times New Roman" w:cs="Times New Roman"/>
          <w:sz w:val="24"/>
          <w:szCs w:val="24"/>
          <w:highlight w:val="yellow"/>
        </w:rPr>
        <w:t>Label and</w:t>
      </w:r>
      <w:r w:rsidRPr="00B6218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EA22EB" w:rsidRPr="00B62185">
        <w:rPr>
          <w:rFonts w:ascii="Times New Roman" w:hAnsi="Times New Roman" w:cs="Times New Roman"/>
          <w:sz w:val="24"/>
          <w:szCs w:val="24"/>
          <w:highlight w:val="yellow"/>
        </w:rPr>
        <w:t>measurement of the plate</w:t>
      </w:r>
      <w:r w:rsidRPr="00B62185">
        <w:rPr>
          <w:rFonts w:ascii="Times New Roman" w:hAnsi="Times New Roman" w:cs="Times New Roman"/>
          <w:sz w:val="24"/>
          <w:szCs w:val="24"/>
          <w:highlight w:val="yellow"/>
        </w:rPr>
        <w:t>, mention species name and</w:t>
      </w:r>
      <w:r w:rsidR="001D07F6">
        <w:rPr>
          <w:rFonts w:ascii="Times New Roman" w:hAnsi="Times New Roman" w:cs="Times New Roman"/>
          <w:sz w:val="24"/>
          <w:szCs w:val="24"/>
          <w:highlight w:val="yellow"/>
        </w:rPr>
        <w:t xml:space="preserve"> number</w:t>
      </w:r>
      <w:r w:rsidRPr="00B62185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CD5E42" w:rsidRPr="00B62185" w:rsidRDefault="00CD5E42" w:rsidP="000D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5E42" w:rsidRPr="00B62185" w:rsidRDefault="00CD5E42" w:rsidP="000D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85">
        <w:rPr>
          <w:rFonts w:ascii="Times New Roman" w:hAnsi="Times New Roman" w:cs="Times New Roman"/>
          <w:bCs/>
          <w:iCs/>
          <w:noProof/>
          <w:sz w:val="24"/>
          <w:szCs w:val="24"/>
        </w:rPr>
        <w:drawing>
          <wp:inline distT="0" distB="0" distL="0" distR="0">
            <wp:extent cx="5943600" cy="5638800"/>
            <wp:effectExtent l="19050" t="0" r="0" b="0"/>
            <wp:docPr id="1" name="Picture 5" descr="Pyrenophora phaeoco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yrenophora phaeocom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3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C47" w:rsidRPr="00B62185" w:rsidRDefault="00C753A6" w:rsidP="000D7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185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1E1F10" w:rsidRPr="00B62185">
        <w:rPr>
          <w:rFonts w:ascii="Times New Roman" w:hAnsi="Times New Roman" w:cs="Times New Roman"/>
          <w:color w:val="222222"/>
          <w:sz w:val="24"/>
          <w:szCs w:val="24"/>
          <w:highlight w:val="yellow"/>
          <w:shd w:val="clear" w:color="auto" w:fill="FFFFFF"/>
        </w:rPr>
        <w:t>Photographic plates</w:t>
      </w:r>
      <w:r w:rsidRPr="00B62185">
        <w:rPr>
          <w:rFonts w:ascii="Times New Roman" w:hAnsi="Times New Roman" w:cs="Times New Roman"/>
          <w:sz w:val="24"/>
          <w:szCs w:val="24"/>
          <w:highlight w:val="yellow"/>
        </w:rPr>
        <w:t>)</w:t>
      </w:r>
    </w:p>
    <w:p w:rsidR="006C5417" w:rsidRPr="00B62185" w:rsidRDefault="007F179F" w:rsidP="000D7C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5417" w:rsidRPr="00B62185" w:rsidSect="00535BE3"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ADC"/>
    <w:rsid w:val="00026347"/>
    <w:rsid w:val="00026DE2"/>
    <w:rsid w:val="0006665E"/>
    <w:rsid w:val="000D7C6D"/>
    <w:rsid w:val="000E3763"/>
    <w:rsid w:val="000F3A5B"/>
    <w:rsid w:val="001D07F6"/>
    <w:rsid w:val="001E1F10"/>
    <w:rsid w:val="00285BBA"/>
    <w:rsid w:val="00376C47"/>
    <w:rsid w:val="003B1829"/>
    <w:rsid w:val="003E0585"/>
    <w:rsid w:val="00442267"/>
    <w:rsid w:val="00452247"/>
    <w:rsid w:val="0050367C"/>
    <w:rsid w:val="00535BE3"/>
    <w:rsid w:val="005F38B7"/>
    <w:rsid w:val="007F179F"/>
    <w:rsid w:val="00833BB1"/>
    <w:rsid w:val="00866ECB"/>
    <w:rsid w:val="008C1544"/>
    <w:rsid w:val="00947455"/>
    <w:rsid w:val="00A3458D"/>
    <w:rsid w:val="00A44199"/>
    <w:rsid w:val="00A56ADC"/>
    <w:rsid w:val="00B05268"/>
    <w:rsid w:val="00B62185"/>
    <w:rsid w:val="00C753A6"/>
    <w:rsid w:val="00CD5E42"/>
    <w:rsid w:val="00CE0A3F"/>
    <w:rsid w:val="00D32A8B"/>
    <w:rsid w:val="00DD5A49"/>
    <w:rsid w:val="00E3136B"/>
    <w:rsid w:val="00E34E45"/>
    <w:rsid w:val="00EA22EB"/>
    <w:rsid w:val="00EB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AB4B5"/>
  <w15:docId w15:val="{C24C4959-2DEC-4702-AA3E-8BC61F613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ADC"/>
    <w:rPr>
      <w:rFonts w:ascii="Calibri" w:eastAsia="Calibri" w:hAnsi="Calibri"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5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E4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376C47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D7C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6D"/>
    <w:rPr>
      <w:rFonts w:ascii="Calibri" w:eastAsia="Calibri" w:hAnsi="Calibri" w:cs="Lath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C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C6D"/>
    <w:rPr>
      <w:rFonts w:ascii="Calibri" w:eastAsia="Calibri" w:hAnsi="Calibri" w:cs="Lath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7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dcterms:created xsi:type="dcterms:W3CDTF">2019-09-27T02:48:00Z</dcterms:created>
  <dcterms:modified xsi:type="dcterms:W3CDTF">2019-10-28T16:26:00Z</dcterms:modified>
</cp:coreProperties>
</file>